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32F75" w14:textId="77777777" w:rsidR="00C53728" w:rsidRDefault="00C53728">
      <w:pPr>
        <w:jc w:val="center"/>
      </w:pPr>
    </w:p>
    <w:p w14:paraId="61308BF8" w14:textId="77777777" w:rsidR="00C53728" w:rsidRDefault="00C53728">
      <w:pPr>
        <w:jc w:val="center"/>
      </w:pPr>
    </w:p>
    <w:p w14:paraId="1E769B96" w14:textId="77777777" w:rsidR="00C53728" w:rsidRDefault="00C53728">
      <w:pPr>
        <w:jc w:val="center"/>
      </w:pPr>
    </w:p>
    <w:p w14:paraId="473B91F3" w14:textId="77777777" w:rsidR="00C53728" w:rsidRDefault="00C53728">
      <w:pPr>
        <w:jc w:val="center"/>
      </w:pPr>
    </w:p>
    <w:p w14:paraId="535AE38E" w14:textId="77777777" w:rsidR="00C53728" w:rsidRDefault="006E33A9">
      <w:pPr>
        <w:jc w:val="center"/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RELAZIONE TECNICA</w:t>
      </w:r>
    </w:p>
    <w:p w14:paraId="60D894FA" w14:textId="77777777" w:rsidR="00C53728" w:rsidRDefault="00C53728">
      <w:pPr>
        <w:jc w:val="center"/>
      </w:pPr>
    </w:p>
    <w:p w14:paraId="6FD82537" w14:textId="77777777" w:rsidR="00C53728" w:rsidRDefault="00C53728">
      <w:pPr>
        <w:jc w:val="center"/>
      </w:pPr>
    </w:p>
    <w:p w14:paraId="5218AC7C" w14:textId="77777777" w:rsidR="00C53728" w:rsidRDefault="00C53728">
      <w:pPr>
        <w:jc w:val="center"/>
      </w:pPr>
    </w:p>
    <w:p w14:paraId="179DF47B" w14:textId="77777777" w:rsidR="00C53728" w:rsidRDefault="00C53728">
      <w:pPr>
        <w:jc w:val="center"/>
      </w:pPr>
    </w:p>
    <w:p w14:paraId="21B8C796" w14:textId="77777777" w:rsidR="00C53728" w:rsidRDefault="006E33A9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Protezione contro i fulmini</w:t>
      </w:r>
    </w:p>
    <w:p w14:paraId="48CD821C" w14:textId="77777777" w:rsidR="00C53728" w:rsidRDefault="006E33A9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Valutazione del rischio per strutture metalliche di cantiere (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DLgs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81/08, DPR 462/01)</w:t>
      </w:r>
    </w:p>
    <w:p w14:paraId="0F0543FE" w14:textId="77777777" w:rsidR="00C53728" w:rsidRDefault="00C53728">
      <w:pPr>
        <w:spacing w:after="0"/>
        <w:jc w:val="center"/>
      </w:pPr>
    </w:p>
    <w:p w14:paraId="580E1641" w14:textId="77777777" w:rsidR="00C53728" w:rsidRDefault="00C53728">
      <w:pPr>
        <w:jc w:val="center"/>
      </w:pPr>
    </w:p>
    <w:p w14:paraId="2F78912F" w14:textId="77777777" w:rsidR="00C53728" w:rsidRDefault="00C53728">
      <w:pPr>
        <w:jc w:val="center"/>
      </w:pPr>
    </w:p>
    <w:p w14:paraId="3F667C2F" w14:textId="77777777" w:rsidR="00C53728" w:rsidRDefault="00C53728">
      <w:pPr>
        <w:jc w:val="center"/>
      </w:pPr>
    </w:p>
    <w:p w14:paraId="59B6F52F" w14:textId="77777777" w:rsidR="00C53728" w:rsidRDefault="00C53728">
      <w:pPr>
        <w:jc w:val="center"/>
      </w:pPr>
    </w:p>
    <w:p w14:paraId="5AE8EB4F" w14:textId="77777777" w:rsidR="00C53728" w:rsidRDefault="00C53728">
      <w:pPr>
        <w:jc w:val="center"/>
      </w:pPr>
    </w:p>
    <w:p w14:paraId="34980A5F" w14:textId="77777777" w:rsidR="00C53728" w:rsidRDefault="00C53728">
      <w:pPr>
        <w:jc w:val="center"/>
      </w:pPr>
    </w:p>
    <w:p w14:paraId="47D29BBA" w14:textId="77777777" w:rsidR="00C53728" w:rsidRDefault="00C53728">
      <w:pPr>
        <w:jc w:val="center"/>
      </w:pPr>
    </w:p>
    <w:p w14:paraId="75AD17C4" w14:textId="77777777" w:rsidR="00C53728" w:rsidRDefault="00C53728">
      <w:pPr>
        <w:jc w:val="center"/>
      </w:pPr>
    </w:p>
    <w:p w14:paraId="0C75BB4F" w14:textId="77777777" w:rsidR="00C53728" w:rsidRDefault="00C53728">
      <w:pPr>
        <w:jc w:val="center"/>
      </w:pPr>
    </w:p>
    <w:p w14:paraId="1B9F77FB" w14:textId="77777777" w:rsidR="00C53728" w:rsidRDefault="00C53728">
      <w:pPr>
        <w:spacing w:after="0"/>
      </w:pPr>
    </w:p>
    <w:p w14:paraId="4FCA8717" w14:textId="77777777" w:rsidR="00C53728" w:rsidRDefault="00C53728">
      <w:pPr>
        <w:spacing w:after="0"/>
      </w:pPr>
    </w:p>
    <w:p w14:paraId="27AD4BF5" w14:textId="77777777" w:rsidR="00C53728" w:rsidRDefault="006E33A9">
      <w:pPr>
        <w:spacing w:after="0"/>
      </w:pPr>
      <w:r>
        <w:rPr>
          <w:b/>
          <w:bCs/>
        </w:rPr>
        <w:t xml:space="preserve">Eseguito da: </w:t>
      </w:r>
    </w:p>
    <w:p w14:paraId="3E47BE3C" w14:textId="77777777" w:rsidR="00C53728" w:rsidRDefault="006E33A9">
      <w:pPr>
        <w:spacing w:after="0"/>
      </w:pPr>
      <w:r>
        <w:t xml:space="preserve">Ragione sociale: </w:t>
      </w:r>
      <w:r>
        <w:t>BO.MA.LUX IMPIANTI ELETTRICI</w:t>
      </w:r>
    </w:p>
    <w:p w14:paraId="6159E188" w14:textId="77777777" w:rsidR="00C53728" w:rsidRDefault="006E33A9">
      <w:pPr>
        <w:spacing w:after="0"/>
      </w:pPr>
      <w:r>
        <w:t xml:space="preserve">Indirizzo: </w:t>
      </w:r>
      <w:r>
        <w:t>VIA CENGE N.58</w:t>
      </w:r>
    </w:p>
    <w:p w14:paraId="502E0129" w14:textId="77777777" w:rsidR="00C53728" w:rsidRDefault="006E33A9">
      <w:pPr>
        <w:spacing w:after="0"/>
      </w:pPr>
      <w:r>
        <w:t xml:space="preserve">Città: </w:t>
      </w:r>
      <w:r>
        <w:t>ARCUGNANO</w:t>
      </w:r>
    </w:p>
    <w:p w14:paraId="0FEF6B2C" w14:textId="77777777" w:rsidR="00C53728" w:rsidRDefault="006E33A9">
      <w:pPr>
        <w:spacing w:after="0"/>
      </w:pPr>
      <w:r>
        <w:t xml:space="preserve">Provincia: </w:t>
      </w:r>
      <w:r>
        <w:t>VI</w:t>
      </w:r>
    </w:p>
    <w:p w14:paraId="6EEF3253" w14:textId="77777777" w:rsidR="00C53728" w:rsidRDefault="00C53728">
      <w:pPr>
        <w:spacing w:after="0"/>
      </w:pPr>
    </w:p>
    <w:p w14:paraId="696A94F5" w14:textId="77777777" w:rsidR="00C53728" w:rsidRDefault="006E33A9">
      <w:pPr>
        <w:spacing w:after="0"/>
      </w:pPr>
      <w:r>
        <w:rPr>
          <w:b/>
          <w:bCs/>
        </w:rPr>
        <w:t xml:space="preserve">Committente: </w:t>
      </w:r>
    </w:p>
    <w:p w14:paraId="38E1701E" w14:textId="77777777" w:rsidR="00C53728" w:rsidRDefault="006E33A9">
      <w:pPr>
        <w:spacing w:after="0"/>
      </w:pPr>
      <w:r>
        <w:t xml:space="preserve">Ragione sociale: </w:t>
      </w:r>
      <w:r>
        <w:t>IMPRESA EDILE MATTIELLO STEFANO E GRAZIANO SNC</w:t>
      </w:r>
    </w:p>
    <w:p w14:paraId="3B970511" w14:textId="77777777" w:rsidR="00C53728" w:rsidRDefault="006E33A9">
      <w:pPr>
        <w:spacing w:after="0"/>
      </w:pPr>
      <w:r>
        <w:t xml:space="preserve">Indirizzo: </w:t>
      </w:r>
      <w:r>
        <w:t>VIA TORRETTA N. 8</w:t>
      </w:r>
    </w:p>
    <w:p w14:paraId="2BAA32AC" w14:textId="77777777" w:rsidR="00C53728" w:rsidRDefault="006E33A9">
      <w:pPr>
        <w:spacing w:after="0"/>
      </w:pPr>
      <w:r>
        <w:t xml:space="preserve">Città: </w:t>
      </w:r>
      <w:r>
        <w:t>NANTO</w:t>
      </w:r>
    </w:p>
    <w:p w14:paraId="3B66ADA0" w14:textId="21596E99" w:rsidR="00C53728" w:rsidRDefault="006E33A9">
      <w:pPr>
        <w:spacing w:after="0"/>
      </w:pPr>
      <w:r>
        <w:t xml:space="preserve">Provincia: </w:t>
      </w:r>
      <w:r>
        <w:t>VI</w:t>
      </w:r>
    </w:p>
    <w:p w14:paraId="7EF4A644" w14:textId="0A9B71DF" w:rsidR="004D497C" w:rsidRDefault="004D497C">
      <w:pPr>
        <w:spacing w:after="0"/>
      </w:pPr>
    </w:p>
    <w:p w14:paraId="5A58592C" w14:textId="77777777" w:rsidR="004D497C" w:rsidRDefault="004D497C">
      <w:pPr>
        <w:spacing w:after="0"/>
      </w:pPr>
      <w:r w:rsidRPr="004D497C">
        <w:rPr>
          <w:b/>
          <w:bCs/>
        </w:rPr>
        <w:t>Luogo cantiere:</w:t>
      </w:r>
      <w:r>
        <w:t xml:space="preserve"> </w:t>
      </w:r>
    </w:p>
    <w:p w14:paraId="086C3289" w14:textId="5A53C278" w:rsidR="004D497C" w:rsidRDefault="004D497C">
      <w:pPr>
        <w:spacing w:after="0"/>
      </w:pPr>
      <w:r>
        <w:t>Via Lago di Fimon – Arcugnano (VI)</w:t>
      </w:r>
    </w:p>
    <w:p w14:paraId="6D1FB55B" w14:textId="77777777" w:rsidR="00C53728" w:rsidRDefault="00C53728"/>
    <w:p w14:paraId="747D42EA" w14:textId="77777777" w:rsidR="00C53728" w:rsidRDefault="00C53728">
      <w:pPr>
        <w:sectPr w:rsidR="00C53728">
          <w:footerReference w:type="default" r:id="rId7"/>
          <w:pgSz w:w="11905" w:h="16837"/>
          <w:pgMar w:top="1440" w:right="1440" w:bottom="1440" w:left="1440" w:header="720" w:footer="720" w:gutter="0"/>
          <w:cols w:space="720"/>
        </w:sectPr>
      </w:pPr>
    </w:p>
    <w:p w14:paraId="047D09B7" w14:textId="77777777" w:rsidR="00C53728" w:rsidRDefault="006E33A9">
      <w:pPr>
        <w:pStyle w:val="Titolo3"/>
      </w:pPr>
      <w:bookmarkStart w:id="0" w:name="_Toc1"/>
      <w:r>
        <w:lastRenderedPageBreak/>
        <w:t>SCOPO DEL DOCUMENTO</w:t>
      </w:r>
      <w:bookmarkEnd w:id="0"/>
    </w:p>
    <w:p w14:paraId="4BEA6AF3" w14:textId="77777777" w:rsidR="00C53728" w:rsidRDefault="006E33A9">
      <w:pPr>
        <w:spacing w:after="0"/>
      </w:pPr>
      <w:r>
        <w:t>Questo documento contiene:</w:t>
      </w:r>
    </w:p>
    <w:p w14:paraId="7B15D254" w14:textId="77777777" w:rsidR="00C53728" w:rsidRDefault="006E33A9">
      <w:pPr>
        <w:spacing w:after="0"/>
      </w:pPr>
      <w:r>
        <w:t xml:space="preserve">- la relazione sulla valutazione dei rischi dovuti al fulmine ai sensi del </w:t>
      </w:r>
      <w:proofErr w:type="spellStart"/>
      <w:r>
        <w:t>DLgs</w:t>
      </w:r>
      <w:proofErr w:type="spellEnd"/>
      <w:r>
        <w:t xml:space="preserve"> 81/08, art. 29;</w:t>
      </w:r>
    </w:p>
    <w:p w14:paraId="0F32C97E" w14:textId="77777777" w:rsidR="00C53728" w:rsidRDefault="006E33A9">
      <w:pPr>
        <w:spacing w:after="0"/>
      </w:pPr>
      <w:r>
        <w:t xml:space="preserve">- la scelta delle misure di protezione ove necessarie come richiesto dal </w:t>
      </w:r>
      <w:proofErr w:type="spellStart"/>
      <w:r>
        <w:t>DLgs</w:t>
      </w:r>
      <w:proofErr w:type="spellEnd"/>
      <w:r>
        <w:t xml:space="preserve"> 81/08, art. 84.</w:t>
      </w:r>
    </w:p>
    <w:p w14:paraId="2A68ACAF" w14:textId="77777777" w:rsidR="00C53728" w:rsidRDefault="006E33A9">
      <w:pPr>
        <w:pStyle w:val="Titolo3"/>
      </w:pPr>
      <w:bookmarkStart w:id="1" w:name="_Toc2"/>
      <w:r>
        <w:t xml:space="preserve">NORME TECNICHE DI </w:t>
      </w:r>
      <w:r>
        <w:t>RIFERIMENTO</w:t>
      </w:r>
      <w:bookmarkEnd w:id="1"/>
    </w:p>
    <w:p w14:paraId="0CB57B1C" w14:textId="77777777" w:rsidR="00C53728" w:rsidRDefault="006E33A9">
      <w:r>
        <w:t>Questo documento è stato elaborato con riferimento alle seguenti norme:</w:t>
      </w:r>
    </w:p>
    <w:p w14:paraId="2940AA3B" w14:textId="77777777" w:rsidR="00C53728" w:rsidRDefault="006E33A9">
      <w:pPr>
        <w:numPr>
          <w:ilvl w:val="0"/>
          <w:numId w:val="2"/>
        </w:numPr>
      </w:pPr>
      <w:r>
        <w:t>CEI EN 62305-1</w:t>
      </w:r>
      <w:r>
        <w:br/>
        <w:t>Protezione contro i fulmini. Parte 1: Principi generali (</w:t>
      </w:r>
      <w:proofErr w:type="gramStart"/>
      <w:r>
        <w:t>Febbraio</w:t>
      </w:r>
      <w:proofErr w:type="gramEnd"/>
      <w:r>
        <w:t xml:space="preserve"> 2013)</w:t>
      </w:r>
    </w:p>
    <w:p w14:paraId="30CF50BB" w14:textId="77777777" w:rsidR="00C53728" w:rsidRDefault="006E33A9">
      <w:pPr>
        <w:numPr>
          <w:ilvl w:val="0"/>
          <w:numId w:val="2"/>
        </w:numPr>
      </w:pPr>
      <w:r>
        <w:t>CEI EN 62305-2</w:t>
      </w:r>
      <w:r>
        <w:br/>
        <w:t>Protezione contro i fulmini. Parte 2: Valutazione del rischio (</w:t>
      </w:r>
      <w:proofErr w:type="gramStart"/>
      <w:r>
        <w:t>Febbrai</w:t>
      </w:r>
      <w:r>
        <w:t>o</w:t>
      </w:r>
      <w:proofErr w:type="gramEnd"/>
      <w:r>
        <w:t xml:space="preserve"> 2013)</w:t>
      </w:r>
    </w:p>
    <w:p w14:paraId="1C58F1B9" w14:textId="77777777" w:rsidR="00C53728" w:rsidRDefault="006E33A9">
      <w:pPr>
        <w:numPr>
          <w:ilvl w:val="0"/>
          <w:numId w:val="2"/>
        </w:numPr>
      </w:pPr>
      <w:r>
        <w:t>CEI EN 62305-3</w:t>
      </w:r>
      <w:r>
        <w:br/>
        <w:t>Protezione contro i fulmini. Parte 3: Danno materiale alle strutture e pericolo per le persone (</w:t>
      </w:r>
      <w:proofErr w:type="gramStart"/>
      <w:r>
        <w:t>Febbraio</w:t>
      </w:r>
      <w:proofErr w:type="gramEnd"/>
      <w:r>
        <w:t xml:space="preserve"> 2013)</w:t>
      </w:r>
    </w:p>
    <w:p w14:paraId="1B3E0D3E" w14:textId="77777777" w:rsidR="00C53728" w:rsidRDefault="006E33A9">
      <w:pPr>
        <w:numPr>
          <w:ilvl w:val="0"/>
          <w:numId w:val="2"/>
        </w:numPr>
      </w:pPr>
      <w:r>
        <w:t>CEI EN 62305-4</w:t>
      </w:r>
      <w:r>
        <w:br/>
        <w:t>Protezione contro i fulmini. Parte 4: Impianti elettrici ed elettronici nelle strutture (</w:t>
      </w:r>
      <w:proofErr w:type="gramStart"/>
      <w:r>
        <w:t>Febbraio</w:t>
      </w:r>
      <w:proofErr w:type="gramEnd"/>
      <w:r>
        <w:t xml:space="preserve"> 2013)</w:t>
      </w:r>
    </w:p>
    <w:p w14:paraId="368EBE7E" w14:textId="77777777" w:rsidR="00C53728" w:rsidRDefault="006E33A9">
      <w:pPr>
        <w:numPr>
          <w:ilvl w:val="0"/>
          <w:numId w:val="2"/>
        </w:numPr>
      </w:pPr>
      <w:r>
        <w:t>CEI</w:t>
      </w:r>
      <w:r>
        <w:t xml:space="preserve"> 81-29</w:t>
      </w:r>
      <w:r>
        <w:br/>
        <w:t>Linee guida per l'applicazione delle norme CEI EN 62305 (</w:t>
      </w:r>
      <w:proofErr w:type="gramStart"/>
      <w:r>
        <w:t>Maggio</w:t>
      </w:r>
      <w:proofErr w:type="gramEnd"/>
      <w:r>
        <w:t xml:space="preserve"> 2020)</w:t>
      </w:r>
    </w:p>
    <w:p w14:paraId="1D2EBFBE" w14:textId="77777777" w:rsidR="00C53728" w:rsidRDefault="006E33A9">
      <w:pPr>
        <w:numPr>
          <w:ilvl w:val="0"/>
          <w:numId w:val="2"/>
        </w:numPr>
      </w:pPr>
      <w:r>
        <w:t>CEI EN IEC 62858</w:t>
      </w:r>
      <w:r>
        <w:br/>
        <w:t>Densità di fulminazione. Reti di localizzazione fulmini (LLS) - Principi generali (</w:t>
      </w:r>
      <w:proofErr w:type="gramStart"/>
      <w:r>
        <w:t>Maggio</w:t>
      </w:r>
      <w:proofErr w:type="gramEnd"/>
      <w:r>
        <w:t xml:space="preserve"> 2020)</w:t>
      </w:r>
    </w:p>
    <w:p w14:paraId="257E98F1" w14:textId="77777777" w:rsidR="00C53728" w:rsidRDefault="006E33A9">
      <w:pPr>
        <w:pStyle w:val="Titolo3"/>
      </w:pPr>
      <w:bookmarkStart w:id="2" w:name="_Toc3"/>
      <w:r>
        <w:t>DATI INIZIALI</w:t>
      </w:r>
      <w:bookmarkEnd w:id="2"/>
    </w:p>
    <w:p w14:paraId="04BE22E1" w14:textId="77777777" w:rsidR="00C53728" w:rsidRDefault="006E33A9">
      <w:pPr>
        <w:pStyle w:val="Titolo4"/>
      </w:pPr>
      <w:bookmarkStart w:id="3" w:name="_Toc4"/>
      <w:r>
        <w:t>Densità annua di fulmini a terra</w:t>
      </w:r>
      <w:bookmarkEnd w:id="3"/>
    </w:p>
    <w:p w14:paraId="0D4CD69A" w14:textId="77777777" w:rsidR="00C53728" w:rsidRDefault="006E33A9">
      <w:pPr>
        <w:jc w:val="both"/>
      </w:pPr>
      <w:r>
        <w:t>La densità annua di</w:t>
      </w:r>
      <w:r>
        <w:t xml:space="preserve"> fulmini a terra per kilometro quadrato nella posizione in cui è ubicata la struttura vale </w:t>
      </w:r>
      <w:proofErr w:type="spellStart"/>
      <w:r>
        <w:t>Ng</w:t>
      </w:r>
      <w:proofErr w:type="spellEnd"/>
      <w:r>
        <w:t xml:space="preserve"> = 4,</w:t>
      </w:r>
      <w:proofErr w:type="gramStart"/>
      <w:r>
        <w:t>22  fulmini</w:t>
      </w:r>
      <w:proofErr w:type="gramEnd"/>
      <w:r>
        <w:t>/km² anno</w:t>
      </w:r>
    </w:p>
    <w:p w14:paraId="57D182A6" w14:textId="77777777" w:rsidR="00C53728" w:rsidRDefault="006E33A9">
      <w:pPr>
        <w:pStyle w:val="Titolo4"/>
      </w:pPr>
      <w:bookmarkStart w:id="4" w:name="_Toc5"/>
      <w:r>
        <w:t>Caratteristiche della gru e ambientali</w:t>
      </w:r>
      <w:bookmarkEnd w:id="4"/>
    </w:p>
    <w:p w14:paraId="1B8DF6B2" w14:textId="77777777" w:rsidR="00C53728" w:rsidRDefault="006E33A9">
      <w:pPr>
        <w:spacing w:after="0"/>
      </w:pPr>
      <w:r>
        <w:t>Le dimensioni massime della gru sono:</w:t>
      </w:r>
    </w:p>
    <w:p w14:paraId="303DBCB8" w14:textId="77777777" w:rsidR="00C53728" w:rsidRDefault="006E33A9">
      <w:pPr>
        <w:spacing w:after="0"/>
      </w:pPr>
      <w:r>
        <w:t>Lunghezza gru (m): 20</w:t>
      </w:r>
    </w:p>
    <w:p w14:paraId="4B7D9F35" w14:textId="77777777" w:rsidR="00C53728" w:rsidRDefault="006E33A9">
      <w:pPr>
        <w:spacing w:after="0"/>
      </w:pPr>
      <w:r>
        <w:t>Larghezza gru (m): 1</w:t>
      </w:r>
    </w:p>
    <w:p w14:paraId="2D518F38" w14:textId="77777777" w:rsidR="00C53728" w:rsidRDefault="006E33A9">
      <w:pPr>
        <w:spacing w:after="0"/>
      </w:pPr>
      <w:r>
        <w:t>Altezza gru (m): 17</w:t>
      </w:r>
    </w:p>
    <w:p w14:paraId="2CF01E74" w14:textId="77777777" w:rsidR="00C53728" w:rsidRDefault="006E33A9">
      <w:pPr>
        <w:spacing w:after="0"/>
      </w:pPr>
      <w:r>
        <w:t>Tipo suolo: Ghiaia</w:t>
      </w:r>
    </w:p>
    <w:p w14:paraId="12CD0A15" w14:textId="77777777" w:rsidR="00C53728" w:rsidRDefault="00C53728">
      <w:pPr>
        <w:spacing w:after="0"/>
      </w:pPr>
    </w:p>
    <w:p w14:paraId="5F08751C" w14:textId="77777777" w:rsidR="00C53728" w:rsidRDefault="006E33A9">
      <w:pPr>
        <w:spacing w:after="0"/>
      </w:pPr>
      <w:r>
        <w:t>Coefficiente di posizione: gru isolata (pianura) (</w:t>
      </w:r>
      <w:proofErr w:type="spellStart"/>
      <w:r>
        <w:t>Cd</w:t>
      </w:r>
      <w:proofErr w:type="spellEnd"/>
      <w:r>
        <w:t xml:space="preserve"> = 1)</w:t>
      </w:r>
    </w:p>
    <w:p w14:paraId="628196D3" w14:textId="77777777" w:rsidR="00C53728" w:rsidRDefault="006E33A9">
      <w:pPr>
        <w:spacing w:after="0"/>
      </w:pPr>
      <w:r>
        <w:t>Protezioni contro le tensioni di contatto e di passo: nessuna</w:t>
      </w:r>
    </w:p>
    <w:p w14:paraId="20840CD2" w14:textId="77777777" w:rsidR="00C53728" w:rsidRDefault="006E33A9">
      <w:pPr>
        <w:pStyle w:val="Titolo3"/>
      </w:pPr>
      <w:bookmarkStart w:id="5" w:name="_Toc6"/>
      <w:r>
        <w:t>VALORI DI RISCHIO</w:t>
      </w:r>
      <w:bookmarkEnd w:id="5"/>
    </w:p>
    <w:p w14:paraId="04ECAAE9" w14:textId="77777777" w:rsidR="00C53728" w:rsidRDefault="006E33A9">
      <w:pPr>
        <w:spacing w:after="0"/>
      </w:pPr>
      <w:r>
        <w:t>Componente di rischio calcolata relativa alle tensioni di</w:t>
      </w:r>
      <w:r>
        <w:t xml:space="preserve"> contatto e di passo RA: 4,36E-8</w:t>
      </w:r>
    </w:p>
    <w:p w14:paraId="06655F3A" w14:textId="77777777" w:rsidR="00C53728" w:rsidRDefault="006E33A9">
      <w:pPr>
        <w:spacing w:after="0"/>
      </w:pPr>
      <w:r>
        <w:t>Valore di rischio tollerato dalla norma RT: 1,00E-5</w:t>
      </w:r>
    </w:p>
    <w:p w14:paraId="7A02D87B" w14:textId="77777777" w:rsidR="00C53728" w:rsidRDefault="00C53728">
      <w:pPr>
        <w:spacing w:after="0"/>
      </w:pPr>
    </w:p>
    <w:p w14:paraId="5A37F186" w14:textId="77777777" w:rsidR="00C53728" w:rsidRDefault="006E33A9">
      <w:pPr>
        <w:pStyle w:val="Titolo3"/>
      </w:pPr>
      <w:bookmarkStart w:id="6" w:name="_Toc7"/>
      <w:r>
        <w:lastRenderedPageBreak/>
        <w:t>CONCLUSIONI</w:t>
      </w:r>
      <w:bookmarkEnd w:id="6"/>
    </w:p>
    <w:p w14:paraId="2F3991D9" w14:textId="77777777" w:rsidR="00C53728" w:rsidRDefault="006E33A9">
      <w:pPr>
        <w:jc w:val="both"/>
      </w:pPr>
      <w:r>
        <w:t>Considerato (con riferimento alla fulminazione diretta) che:</w:t>
      </w:r>
    </w:p>
    <w:p w14:paraId="4E9D0873" w14:textId="77777777" w:rsidR="00C53728" w:rsidRDefault="006E33A9">
      <w:pPr>
        <w:numPr>
          <w:ilvl w:val="0"/>
          <w:numId w:val="2"/>
        </w:numPr>
      </w:pPr>
      <w:r>
        <w:t>la gru in questione non contiene materiali combustibili, né infiammabili e quindi la componente d</w:t>
      </w:r>
      <w:r>
        <w:t>i rischio relativa ad incendi ed esplosioni è nulla (RB = 0);</w:t>
      </w:r>
    </w:p>
    <w:p w14:paraId="7959FCB7" w14:textId="77777777" w:rsidR="00C53728" w:rsidRDefault="006E33A9">
      <w:pPr>
        <w:numPr>
          <w:ilvl w:val="0"/>
          <w:numId w:val="2"/>
        </w:numPr>
      </w:pPr>
      <w:r>
        <w:t>si assume, in conformità alla norma CEI EN 62305-2, un valore medio del danno per tensioni di contatto e di passo Lt pari a 0,01;</w:t>
      </w:r>
    </w:p>
    <w:p w14:paraId="0C40E9A0" w14:textId="77777777" w:rsidR="00C53728" w:rsidRDefault="006E33A9">
      <w:pPr>
        <w:jc w:val="both"/>
      </w:pPr>
      <w:r>
        <w:t xml:space="preserve">si attesta che la suddetta gru presenta un rischio relativo al fulmine, valutato ai sensi del </w:t>
      </w:r>
      <w:proofErr w:type="spellStart"/>
      <w:r>
        <w:t>DLgs</w:t>
      </w:r>
      <w:proofErr w:type="spellEnd"/>
      <w:r>
        <w:t xml:space="preserve"> 9/4/08 n. 81, art. 29, in c</w:t>
      </w:r>
      <w:r>
        <w:t xml:space="preserve">onformità con la norma CEI EN 62305-2, accettabile e dunque non necessita di protezione contro le scariche atmosferiche ai sensi del </w:t>
      </w:r>
      <w:proofErr w:type="spellStart"/>
      <w:r>
        <w:t>DLgs</w:t>
      </w:r>
      <w:proofErr w:type="spellEnd"/>
      <w:r>
        <w:t xml:space="preserve"> 9/4/08 n. 81, art. 84.  Conseguentemente, non ricorre l'obbligo di denuncia all'Asl/Arpa e all'Inail dei dispositivi d</w:t>
      </w:r>
      <w:r>
        <w:t>i protezione contro le scariche atmosferiche (messa a terra) di cui al DPR 22/10/01 n. 462, art. 2. Infine, non sussiste l'obbligo per il datore di lavoro di far sottoporre a verifica periodica i dispositivi in questione da parte dell'Asl/Arpa o di un orga</w:t>
      </w:r>
      <w:r>
        <w:t>nismo abilitato, secondo le modalità e frequenza di cui all'art. 4 dello stesso decreto.</w:t>
      </w:r>
    </w:p>
    <w:p w14:paraId="314F5D64" w14:textId="77777777" w:rsidR="00C53728" w:rsidRDefault="00C53728"/>
    <w:p w14:paraId="4CBE9CFE" w14:textId="77777777" w:rsidR="00C53728" w:rsidRDefault="006E33A9">
      <w:pPr>
        <w:spacing w:after="0"/>
      </w:pPr>
      <w:r>
        <w:t>Data</w:t>
      </w:r>
    </w:p>
    <w:p w14:paraId="4799AA0B" w14:textId="77777777" w:rsidR="00C53728" w:rsidRDefault="006E33A9">
      <w:pPr>
        <w:spacing w:after="0"/>
      </w:pPr>
      <w:r>
        <w:t>03/01/2022</w:t>
      </w:r>
    </w:p>
    <w:p w14:paraId="6D1D45CE" w14:textId="77777777" w:rsidR="00C53728" w:rsidRDefault="00C53728">
      <w:pPr>
        <w:spacing w:after="0"/>
      </w:pPr>
    </w:p>
    <w:tbl>
      <w:tblPr>
        <w:tblW w:w="500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0"/>
        <w:gridCol w:w="4965"/>
      </w:tblGrid>
      <w:tr w:rsidR="00C53728" w14:paraId="7E0728DA" w14:textId="77777777">
        <w:tc>
          <w:tcPr>
            <w:tcW w:w="4081" w:type="dxa"/>
          </w:tcPr>
          <w:p w14:paraId="170BD990" w14:textId="77777777" w:rsidR="00C53728" w:rsidRDefault="00C53728"/>
        </w:tc>
        <w:tc>
          <w:tcPr>
            <w:tcW w:w="4988" w:type="dxa"/>
          </w:tcPr>
          <w:p w14:paraId="3CA6282E" w14:textId="77777777" w:rsidR="00C53728" w:rsidRDefault="006E33A9">
            <w:pPr>
              <w:jc w:val="center"/>
            </w:pPr>
            <w:r>
              <w:t>Timbro e firma</w:t>
            </w:r>
          </w:p>
          <w:p w14:paraId="4D602F66" w14:textId="77777777" w:rsidR="00C53728" w:rsidRDefault="00C53728">
            <w:pPr>
              <w:jc w:val="center"/>
            </w:pPr>
          </w:p>
        </w:tc>
      </w:tr>
    </w:tbl>
    <w:p w14:paraId="73B73A5D" w14:textId="77777777" w:rsidR="006E33A9" w:rsidRDefault="006E33A9"/>
    <w:sectPr w:rsidR="006E33A9">
      <w:footerReference w:type="default" r:id="rId8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15AF" w14:textId="77777777" w:rsidR="006E33A9" w:rsidRDefault="006E33A9">
      <w:pPr>
        <w:spacing w:after="0" w:line="240" w:lineRule="auto"/>
      </w:pPr>
      <w:r>
        <w:separator/>
      </w:r>
    </w:p>
  </w:endnote>
  <w:endnote w:type="continuationSeparator" w:id="0">
    <w:p w14:paraId="1DC56B10" w14:textId="77777777" w:rsidR="006E33A9" w:rsidRDefault="006E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F2B1" w14:textId="77777777" w:rsidR="00C53728" w:rsidRDefault="006E33A9">
    <w:pPr>
      <w:jc w:val="right"/>
    </w:pPr>
    <w:r>
      <w:rPr>
        <w:sz w:val="18"/>
        <w:szCs w:val="18"/>
      </w:rPr>
      <w:t xml:space="preserve">Pagina </w:t>
    </w:r>
    <w:r>
      <w:fldChar w:fldCharType="begin"/>
    </w:r>
    <w:r>
      <w:rPr>
        <w:sz w:val="18"/>
        <w:szCs w:val="18"/>
      </w:rPr>
      <w:instrText>PAGE</w:instrText>
    </w:r>
    <w:r>
      <w:fldChar w:fldCharType="separate"/>
    </w:r>
    <w:r w:rsidR="004D497C">
      <w:rPr>
        <w:noProof/>
        <w:sz w:val="18"/>
        <w:szCs w:val="18"/>
      </w:rPr>
      <w:t>1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rPr>
        <w:sz w:val="18"/>
        <w:szCs w:val="18"/>
      </w:rPr>
      <w:instrText>NUMPAGES</w:instrText>
    </w:r>
    <w:r>
      <w:fldChar w:fldCharType="separate"/>
    </w:r>
    <w:r w:rsidR="004D497C">
      <w:rPr>
        <w:noProof/>
        <w:sz w:val="18"/>
        <w:szCs w:val="18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73F8" w14:textId="77777777" w:rsidR="00C53728" w:rsidRDefault="006E33A9">
    <w:pPr>
      <w:jc w:val="right"/>
    </w:pPr>
    <w:r>
      <w:rPr>
        <w:sz w:val="18"/>
        <w:szCs w:val="18"/>
      </w:rPr>
      <w:t xml:space="preserve">Pagina </w:t>
    </w:r>
    <w:r>
      <w:fldChar w:fldCharType="begin"/>
    </w:r>
    <w:r>
      <w:rPr>
        <w:sz w:val="18"/>
        <w:szCs w:val="18"/>
      </w:rPr>
      <w:instrText>PAGE</w:instrText>
    </w:r>
    <w:r>
      <w:fldChar w:fldCharType="separate"/>
    </w:r>
    <w:r w:rsidR="004D497C">
      <w:rPr>
        <w:noProof/>
        <w:sz w:val="18"/>
        <w:szCs w:val="18"/>
      </w:rPr>
      <w:t>2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rPr>
        <w:sz w:val="18"/>
        <w:szCs w:val="18"/>
      </w:rPr>
      <w:instrText>NUMPAGES</w:instrText>
    </w:r>
    <w:r>
      <w:fldChar w:fldCharType="separate"/>
    </w:r>
    <w:r w:rsidR="004D497C">
      <w:rPr>
        <w:noProof/>
        <w:sz w:val="18"/>
        <w:szCs w:val="18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92EB" w14:textId="77777777" w:rsidR="006E33A9" w:rsidRDefault="006E33A9">
      <w:pPr>
        <w:spacing w:after="0" w:line="240" w:lineRule="auto"/>
      </w:pPr>
      <w:r>
        <w:separator/>
      </w:r>
    </w:p>
  </w:footnote>
  <w:footnote w:type="continuationSeparator" w:id="0">
    <w:p w14:paraId="333F76FF" w14:textId="77777777" w:rsidR="006E33A9" w:rsidRDefault="006E3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1A08D2"/>
    <w:multiLevelType w:val="multilevel"/>
    <w:tmpl w:val="CB7AB64A"/>
    <w:lvl w:ilvl="0">
      <w:start w:val="1"/>
      <w:numFmt w:val="decimal"/>
      <w:pStyle w:val="Titolo3"/>
      <w:suff w:val="space"/>
      <w:lvlText w:val="%1"/>
      <w:lvlJc w:val="left"/>
      <w:pPr>
        <w:tabs>
          <w:tab w:val="num" w:pos="0"/>
        </w:tabs>
      </w:pPr>
    </w:lvl>
    <w:lvl w:ilvl="1">
      <w:start w:val="1"/>
      <w:numFmt w:val="decimal"/>
      <w:pStyle w:val="Titolo4"/>
      <w:suff w:val="space"/>
      <w:lvlText w:val="%1.%2"/>
      <w:lvlJc w:val="left"/>
      <w:pPr>
        <w:tabs>
          <w:tab w:val="num" w:pos="0"/>
        </w:tabs>
      </w:pPr>
    </w:lvl>
    <w:lvl w:ilvl="2">
      <w:start w:val="1"/>
      <w:numFmt w:val="decimal"/>
      <w:pStyle w:val="Titolo3"/>
      <w:suff w:val="space"/>
      <w:lvlText w:val="%1.%2.%3"/>
      <w:lvlJc w:val="left"/>
      <w:pPr>
        <w:tabs>
          <w:tab w:val="num" w:pos="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1A8771"/>
    <w:multiLevelType w:val="hybridMultilevel"/>
    <w:tmpl w:val="D0B8C83C"/>
    <w:lvl w:ilvl="0" w:tplc="1B107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8CB2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A0D8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8E08C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246FB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7C54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FF450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4E7D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6CB6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28"/>
    <w:rsid w:val="004D497C"/>
    <w:rsid w:val="006E33A9"/>
    <w:rsid w:val="00C5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0413"/>
  <w15:docId w15:val="{ED7AF5F3-225C-4213-8085-1BD3606A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uiPriority w:val="9"/>
    <w:unhideWhenUsed/>
    <w:qFormat/>
    <w:pPr>
      <w:numPr>
        <w:numId w:val="1"/>
      </w:numPr>
      <w:spacing w:before="4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numPr>
        <w:ilvl w:val="1"/>
        <w:numId w:val="1"/>
      </w:numPr>
      <w:spacing w:before="32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uiPriority w:val="9"/>
    <w:semiHidden/>
    <w:unhideWhenUsed/>
    <w:qFormat/>
    <w:pPr>
      <w:tabs>
        <w:tab w:val="num" w:pos="0"/>
      </w:tabs>
      <w:spacing w:before="320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2696</Characters>
  <Application>Microsoft Office Word</Application>
  <DocSecurity>0</DocSecurity>
  <Lines>22</Lines>
  <Paragraphs>6</Paragraphs>
  <ScaleCrop>false</ScaleCrop>
  <Manager/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Matteo</cp:lastModifiedBy>
  <cp:revision>2</cp:revision>
  <cp:lastPrinted>2022-01-17T17:41:00Z</cp:lastPrinted>
  <dcterms:created xsi:type="dcterms:W3CDTF">2022-01-17T17:42:00Z</dcterms:created>
  <dcterms:modified xsi:type="dcterms:W3CDTF">2022-01-17T17:42:00Z</dcterms:modified>
  <cp:category/>
</cp:coreProperties>
</file>